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6F" w:rsidRPr="004E4E05" w:rsidRDefault="00A0046F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429" w:rsidRPr="00054429" w:rsidRDefault="00054429" w:rsidP="000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29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054429" w:rsidRPr="00054429" w:rsidRDefault="00054429" w:rsidP="000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29">
        <w:rPr>
          <w:rFonts w:ascii="Times New Roman" w:hAnsi="Times New Roman" w:cs="Times New Roman"/>
          <w:b/>
          <w:sz w:val="24"/>
          <w:szCs w:val="24"/>
        </w:rPr>
        <w:t>Медицина және денсаулық сақтау факультеті</w:t>
      </w:r>
    </w:p>
    <w:p w:rsidR="00054429" w:rsidRPr="00054429" w:rsidRDefault="00054429" w:rsidP="000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29">
        <w:rPr>
          <w:rFonts w:ascii="Times New Roman" w:hAnsi="Times New Roman" w:cs="Times New Roman"/>
          <w:b/>
          <w:sz w:val="24"/>
          <w:szCs w:val="24"/>
        </w:rPr>
        <w:t>Мамандық бойынша білім беру бағдарламасы:</w:t>
      </w:r>
    </w:p>
    <w:p w:rsidR="00C72DFE" w:rsidRPr="002F0438" w:rsidRDefault="004F7F73" w:rsidP="0005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F0438" w:rsidRPr="002677C8">
        <w:rPr>
          <w:rFonts w:ascii="Times New Roman" w:hAnsi="Times New Roman" w:cs="Times New Roman"/>
          <w:b/>
          <w:sz w:val="24"/>
          <w:szCs w:val="24"/>
        </w:rPr>
        <w:t>7М10102</w:t>
      </w:r>
      <w:r w:rsidR="00054429" w:rsidRPr="002F043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054429" w:rsidRPr="002F0438">
        <w:rPr>
          <w:rFonts w:ascii="Times New Roman" w:hAnsi="Times New Roman" w:cs="Times New Roman"/>
          <w:b/>
          <w:sz w:val="24"/>
          <w:szCs w:val="24"/>
        </w:rPr>
        <w:t>Қоғамдық денсаулық сақтау»</w:t>
      </w:r>
      <w:r w:rsidR="002F0438" w:rsidRPr="002F0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438">
        <w:rPr>
          <w:rFonts w:ascii="Times New Roman" w:hAnsi="Times New Roman" w:cs="Times New Roman"/>
          <w:b/>
          <w:sz w:val="24"/>
          <w:szCs w:val="24"/>
          <w:lang w:val="kk-KZ"/>
        </w:rPr>
        <w:t>каз.тобы</w:t>
      </w:r>
    </w:p>
    <w:p w:rsidR="00C72DFE" w:rsidRPr="004F7F73" w:rsidRDefault="00C72DFE" w:rsidP="00C7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7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2019-2020 жж. </w:t>
      </w:r>
    </w:p>
    <w:p w:rsidR="00C72DFE" w:rsidRPr="004F7F73" w:rsidRDefault="00C72DFE" w:rsidP="00C7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7F73">
        <w:rPr>
          <w:rFonts w:ascii="Times New Roman" w:hAnsi="Times New Roman" w:cs="Times New Roman"/>
          <w:b/>
          <w:sz w:val="24"/>
          <w:szCs w:val="24"/>
          <w:lang w:val="kk-KZ"/>
        </w:rPr>
        <w:t>Көктемгі семестр</w:t>
      </w:r>
    </w:p>
    <w:p w:rsidR="00AD10F8" w:rsidRPr="004F7F73" w:rsidRDefault="00C72DFE" w:rsidP="00C7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7F73">
        <w:rPr>
          <w:rFonts w:ascii="Times New Roman" w:hAnsi="Times New Roman" w:cs="Times New Roman"/>
          <w:b/>
          <w:sz w:val="24"/>
          <w:szCs w:val="24"/>
          <w:lang w:val="kk-KZ"/>
        </w:rPr>
        <w:t>  мамандық бойынша бағдарлама</w:t>
      </w:r>
      <w:bookmarkEnd w:id="0"/>
      <w:r w:rsidRPr="004F7F7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72DFE" w:rsidRPr="004F7F73" w:rsidRDefault="00C72DFE" w:rsidP="00C72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1005"/>
        <w:gridCol w:w="837"/>
        <w:gridCol w:w="783"/>
        <w:gridCol w:w="1530"/>
        <w:gridCol w:w="1235"/>
      </w:tblGrid>
      <w:tr w:rsidR="00C9253A" w:rsidRPr="004E4E05" w:rsidTr="00193C99">
        <w:trPr>
          <w:trHeight w:val="242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C72DFE" w:rsidP="00C7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Курстын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C72DFE" w:rsidP="00C7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Курстын </w:t>
            </w:r>
            <w:r w:rsidR="00AD10F8"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C72DFE" w:rsidP="00C7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</w:p>
        </w:tc>
        <w:tc>
          <w:tcPr>
            <w:tcW w:w="2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C72DFE" w:rsidP="00C7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Сағаттары</w:t>
            </w:r>
            <w:r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апталары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C72DFE" w:rsidP="00C72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Кредиттер саны</w:t>
            </w:r>
          </w:p>
        </w:tc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EE17C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ОЖСӨЖ</w:t>
            </w:r>
          </w:p>
          <w:p w:rsidR="00BD53AF" w:rsidRPr="004E4E05" w:rsidRDefault="00BD53AF" w:rsidP="00BD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253A" w:rsidRPr="004E4E05" w:rsidTr="00193C99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BD53AF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BD53AF" w:rsidP="00BD5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BD53AF" w:rsidP="00BD5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53A" w:rsidRPr="004E4E05" w:rsidTr="00193C99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4E4E05" w:rsidRDefault="002F0438" w:rsidP="002F0438">
            <w:pPr>
              <w:pStyle w:val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  <w:lang w:val="en-US"/>
              </w:rPr>
              <w:t>E 5</w:t>
            </w:r>
            <w:r w:rsidR="00D825D7" w:rsidRPr="00D319CD">
              <w:rPr>
                <w:b/>
                <w:sz w:val="24"/>
                <w:szCs w:val="24"/>
                <w:highlight w:val="yellow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EE17C5" w:rsidP="00EE1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Эпидемиология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D825D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D825D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D825D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D825D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D825D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9253A" w:rsidRPr="004E4E05" w:rsidTr="00193C9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EE17C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лектор</w:t>
            </w:r>
          </w:p>
        </w:tc>
        <w:tc>
          <w:tcPr>
            <w:tcW w:w="54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Искакова Фарида Аркеновна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м.ғ.д.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4E4E05" w:rsidRDefault="002F0438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часы</w:t>
            </w:r>
          </w:p>
          <w:p w:rsidR="00C9253A" w:rsidRPr="004E4E05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EE17C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жоспарланған</w:t>
            </w:r>
          </w:p>
        </w:tc>
      </w:tr>
      <w:tr w:rsidR="00C9253A" w:rsidRPr="004F7F73" w:rsidTr="00193C9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734F9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C9253A" w:rsidRPr="004E4E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9253A" w:rsidRPr="004E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4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6D" w:rsidRPr="004E4E05" w:rsidRDefault="00C9253A" w:rsidP="009A3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r w:rsidR="009A3241" w:rsidRPr="004E4E0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iskakovaf@gmail.com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4E4E05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53A" w:rsidRPr="004E4E05" w:rsidTr="00193C9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E17C5" w:rsidRDefault="00EE17C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4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9A3241" w:rsidP="009A3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+7 701 101 3086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EE17C5" w:rsidP="00EE1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319CD" w:rsidRDefault="0010129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319C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6B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8"/>
        <w:gridCol w:w="8033"/>
      </w:tblGrid>
      <w:tr w:rsidR="00C9253A" w:rsidRPr="00EE17C5" w:rsidTr="001B58B0">
        <w:trPr>
          <w:trHeight w:val="247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4E4E05" w:rsidRDefault="00EE17C5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>Академиялық курстың презентациясы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C5" w:rsidRDefault="00EE17C5" w:rsidP="00CC3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>Курстың 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 xml:space="preserve"> студенттерге эпидемиологияның терминологиясын, теориясын, принциптері мен әдістерін ұсыну. Курс денсаулық сақтаудың соңғы нүктелерінің ықтимал себептері ретінде қауіп факторларын бағалау әдістеріне арналған. Студенттер аурудың пайда болу және әсер ету шараларын зерттейді; себеп пен оның тұжырымдамасын анықтау; эпидемиологиялық зерттеулердің негізгі логикасын және олардың дизайнын білу; эпидемиологиялық мәліметтердің қалай жиналғанын білу; оқу конструкцияларымен байланысты күшті жақтарын, шектеулерін және жағымсыздықтарын білуге; эпидемиологияда қолданылатын негізгі математикалық қағидаларды білу; Эпидемиологиялық зерттеулер жүргізудегі этикалық мәселелерді талқылайды.</w:t>
            </w:r>
          </w:p>
          <w:p w:rsidR="00EE17C5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аяқталғаннан кейін студенттің мүмкіндігі болады</w:t>
            </w:r>
          </w:p>
          <w:p w:rsidR="00EE17C5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Эпидемиологиялық зерттеулерде негізгі жобалау стратегияларын қолданыңыз.</w:t>
            </w:r>
          </w:p>
          <w:p w:rsidR="00EE17C5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Эмпирикалық зерттеулерді жоспарлау, мәліметтер жинау, деректерді талдау, қорытындыларды түсіндіру және нәтижелерді денсаулық сақтау мен клиникалық медицинада қолдану арасындағы маңызды байланыстарды мойындаңыз.</w:t>
            </w:r>
          </w:p>
          <w:p w:rsidR="00EE17C5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Халық денсаулығы мен биомедициналық әдебиеттерді сыни тұрғыдан талдау және түсіндіру үшін эпидемиологиялық әдістерді қолданыңыз.</w:t>
            </w:r>
          </w:p>
          <w:p w:rsidR="009D5ECF" w:rsidRPr="00EE17C5" w:rsidRDefault="00EE17C5" w:rsidP="00EE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Эпидемиологиялық зерттеулерге қатысты этикалық және саясат мәселелерін түсіну.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065"/>
        <w:gridCol w:w="7715"/>
      </w:tblGrid>
      <w:tr w:rsidR="000D40FB" w:rsidRPr="00EE17C5" w:rsidTr="00AD10F8"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24353E" w:rsidP="00243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Prerequisite and</w:t>
            </w:r>
            <w:r w:rsidRPr="004E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 requisite</w:t>
            </w:r>
          </w:p>
        </w:tc>
        <w:tc>
          <w:tcPr>
            <w:tcW w:w="7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E17C5" w:rsidRDefault="00EE17C5" w:rsidP="0024353E">
            <w:pPr>
              <w:pStyle w:val="11"/>
              <w:jc w:val="both"/>
              <w:rPr>
                <w:sz w:val="24"/>
                <w:szCs w:val="24"/>
              </w:rPr>
            </w:pPr>
            <w:r w:rsidRPr="00EE17C5">
              <w:rPr>
                <w:sz w:val="24"/>
                <w:szCs w:val="24"/>
              </w:rPr>
              <w:t>Эпидемиология, дәлелді медицина негіздері, биостатистика, жетілдірілген эпидемиология</w:t>
            </w:r>
          </w:p>
        </w:tc>
      </w:tr>
      <w:tr w:rsidR="000D40FB" w:rsidRPr="004F7F73" w:rsidTr="00AD10F8"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E4E05" w:rsidRDefault="0024353E" w:rsidP="0019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E05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Literature</w:t>
            </w:r>
            <w:r w:rsidR="00193C99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4E4E05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source</w:t>
            </w:r>
          </w:p>
        </w:tc>
        <w:tc>
          <w:tcPr>
            <w:tcW w:w="7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93C99" w:rsidRDefault="00193C99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99">
              <w:rPr>
                <w:rFonts w:ascii="Times New Roman" w:hAnsi="Times New Roman" w:cs="Times New Roman"/>
                <w:b/>
                <w:sz w:val="24"/>
                <w:szCs w:val="24"/>
              </w:rPr>
              <w:t>Required reading</w:t>
            </w:r>
            <w:r w:rsidR="00E9752B" w:rsidRPr="00193C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752B" w:rsidRPr="00193C99" w:rsidRDefault="00E9752B" w:rsidP="00C76E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Aschengrau A., Essentials of Epidemiology in Public Health, 3rd Edition, 2008</w:t>
            </w:r>
          </w:p>
          <w:p w:rsidR="00E9752B" w:rsidRPr="00193C99" w:rsidRDefault="00193C99" w:rsidP="00C76ED1">
            <w:pPr>
              <w:spacing w:after="0" w:line="240" w:lineRule="auto"/>
              <w:ind w:left="40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3C99">
              <w:rPr>
                <w:rFonts w:ascii="Times New Roman" w:hAnsi="Times New Roman" w:cs="Times New Roman"/>
                <w:b/>
                <w:sz w:val="24"/>
                <w:szCs w:val="24"/>
              </w:rPr>
              <w:t>Recommended reading</w:t>
            </w:r>
            <w:r w:rsidR="00E9752B" w:rsidRPr="00193C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52B" w:rsidRPr="004E4E05" w:rsidRDefault="00E9752B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Gordis: Epidemiology, 5th Edition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Saunders 2013</w:t>
            </w:r>
          </w:p>
          <w:p w:rsidR="00E9752B" w:rsidRPr="004E4E05" w:rsidRDefault="00E9752B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Rothman K., Modern Epidemiology, 3rd Edition, 2008 </w:t>
            </w:r>
          </w:p>
          <w:p w:rsidR="00E9752B" w:rsidRPr="004E4E05" w:rsidRDefault="00E9752B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Pickles A. Epidemiological Methods in Life Course Research, 1st Edition, 2007</w:t>
            </w:r>
          </w:p>
          <w:p w:rsidR="00E9752B" w:rsidRPr="004E4E05" w:rsidRDefault="00E9752B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Webb P and Bain C. Essential Epidemiology: An introduction for Students and Health Professionals. Second Edition. Cambridge University Press. 2011.</w:t>
            </w:r>
          </w:p>
          <w:p w:rsidR="00E9752B" w:rsidRPr="004E4E05" w:rsidRDefault="00E9752B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Wolfgang, A.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Handbook of Epidemiology. Vol.1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Ahrens Wolfgang,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Peugeot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4F9A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Iris. -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ed.- Springer Reference, 2014.- 469 p. </w:t>
            </w:r>
          </w:p>
          <w:p w:rsidR="00E9752B" w:rsidRPr="004E4E05" w:rsidRDefault="00E9752B" w:rsidP="002823A0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and methods of Epidemiology. 3-d Edition.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Dicker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E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6C46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epidemiologic program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4E05">
              <w:rPr>
                <w:rFonts w:ascii="Times New Roman" w:hAnsi="Times New Roman" w:cs="Times New Roman"/>
                <w:sz w:val="24"/>
                <w:szCs w:val="24"/>
              </w:rPr>
              <w:t>СДС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USAID. -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2012.-457 </w:t>
            </w:r>
            <w:r w:rsidR="00C16C46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30390" w:rsidRPr="004E4E05" w:rsidRDefault="00930390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of Epidemiology in Public Health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Practice. Third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An introduction to Epidemiology and Biostatics.US, CDC, </w:t>
            </w:r>
            <w:r w:rsidR="00A37F60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Atlanta. -</w:t>
            </w: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2012.-6-75 p.</w:t>
            </w:r>
          </w:p>
          <w:p w:rsidR="00CD28A7" w:rsidRPr="004E4E05" w:rsidRDefault="00CD28A7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Hennekens, C., &amp; Buring, J. (1987). Epidemiology in Medicine, Boston/Toronto: Little, Brown and Company. </w:t>
            </w:r>
          </w:p>
          <w:p w:rsidR="00CD28A7" w:rsidRPr="004E4E05" w:rsidRDefault="00CD28A7" w:rsidP="00C76ED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Kelsey, J., Whittemore, A., Evans, A. &amp; Thompson, D. (1996). Methods in Observational Epidemiology, Second Edition, New York: Oxford University Press.</w:t>
            </w:r>
          </w:p>
          <w:p w:rsidR="00E9752B" w:rsidRPr="00A22C88" w:rsidRDefault="00193C99" w:rsidP="00C76ED1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source</w:t>
            </w:r>
            <w:r w:rsidR="00E9752B" w:rsidRPr="00A22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E9752B" w:rsidRPr="00A22C88" w:rsidRDefault="00660411" w:rsidP="006A61B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9752B" w:rsidRPr="00A22C8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www.who.org</w:t>
              </w:r>
            </w:hyperlink>
            <w:r w:rsidR="00E9752B" w:rsidRPr="00A22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752B" w:rsidRPr="00A22C88" w:rsidRDefault="00660411" w:rsidP="006A61B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9752B" w:rsidRPr="00A22C8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www.cdc.gov</w:t>
              </w:r>
            </w:hyperlink>
            <w:r w:rsidR="00E9752B" w:rsidRPr="00A22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752B" w:rsidRPr="00734F9A" w:rsidRDefault="00660411" w:rsidP="006A61B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9752B" w:rsidRPr="00734F9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www.medline</w:t>
              </w:r>
            </w:hyperlink>
            <w:r w:rsidR="00E9752B" w:rsidRP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77696" w:rsidRPr="00734F9A" w:rsidRDefault="00660411" w:rsidP="006A61B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77696" w:rsidRPr="00734F9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www.cockrain</w:t>
              </w:r>
              <w:r w:rsidR="00D77696" w:rsidRPr="004E4E0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</w:t>
              </w:r>
              <w:r w:rsidR="00D77696" w:rsidRPr="00734F9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.library</w:t>
              </w:r>
            </w:hyperlink>
          </w:p>
          <w:p w:rsidR="00D77696" w:rsidRPr="00734F9A" w:rsidRDefault="00660411" w:rsidP="006A61BB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D77696" w:rsidRPr="004E4E0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77696" w:rsidRPr="00734F9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6462E5" w:rsidRPr="004E4E0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PubMed</w:t>
              </w:r>
            </w:hyperlink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5"/>
        <w:gridCol w:w="7715"/>
      </w:tblGrid>
      <w:tr w:rsidR="00C9253A" w:rsidRPr="004F7F73" w:rsidTr="00A22C8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4E4E05" w:rsidRDefault="002F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Университеттің этикалық және моральдық құндылықтар контексіндегі академиялық саясаты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Академиялық тәртіп ережелері: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Оқушылар сабаққа қатысады және оқу материалдарын талқылауға дайын болады.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немесе одан көп оқылмаған сабаққа қатысқан оқушылар сабаққа қатысқаны үшін 0 балл алады.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Егер СӨЖ бір аптадан кейін өтсе, онда ол қабылданады, бірақ бағасы 50% төмендейді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Академиялық құндылықтар: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Семинарлар жеке өткізіледі.</w:t>
            </w:r>
          </w:p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Плагиат, жалған құжат, алаяқтық парақтарды пайдалану, білімді бақылаудың барлық сатыларында алдау мүмкін емес.</w:t>
            </w:r>
          </w:p>
          <w:p w:rsidR="000D40FB" w:rsidRPr="004E4E0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Мүмкіндігі шектеулі студенттер кеңестерді мына жерден ала алады</w:t>
            </w:r>
            <w:r w:rsidRPr="00EE1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D28A7"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="000D40FB" w:rsidRPr="004E4E0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iskakovaf@gmail.com</w:t>
              </w:r>
            </w:hyperlink>
            <w:r w:rsidR="000D40FB" w:rsidRPr="004E4E0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</w:tr>
      <w:tr w:rsidR="00C9253A" w:rsidRPr="00054429" w:rsidTr="00A22C88">
        <w:trPr>
          <w:trHeight w:val="75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4E4E05" w:rsidRDefault="002F0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38">
              <w:rPr>
                <w:rFonts w:ascii="Times New Roman" w:hAnsi="Times New Roman" w:cs="Times New Roman"/>
                <w:sz w:val="24"/>
                <w:szCs w:val="24"/>
              </w:rPr>
              <w:t>Бағалау және сертификаттау саясаты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7C5" w:rsidRPr="00EE17C5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5">
              <w:rPr>
                <w:rFonts w:ascii="Times New Roman" w:hAnsi="Times New Roman" w:cs="Times New Roman"/>
                <w:sz w:val="24"/>
                <w:szCs w:val="24"/>
              </w:rPr>
              <w:t>Критериалды бағалау бағалауды дескрипторлар бойынша бағалауды қарастырады (аралық бақылау мен емтихандар кезінде біліктіліктің қалыптасуын тексеру).</w:t>
            </w:r>
          </w:p>
          <w:p w:rsidR="00C9253A" w:rsidRPr="002F0438" w:rsidRDefault="00EE17C5" w:rsidP="00EE17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38">
              <w:rPr>
                <w:rFonts w:ascii="Times New Roman" w:hAnsi="Times New Roman" w:cs="Times New Roman"/>
                <w:sz w:val="24"/>
                <w:szCs w:val="24"/>
              </w:rPr>
              <w:t>Жиынтық бағалау: оқушының сабаққа қатысуын, сабақтың белсенділігі мен тапсырманың орындалуын бағалау.</w:t>
            </w:r>
          </w:p>
        </w:tc>
      </w:tr>
    </w:tbl>
    <w:p w:rsidR="000D40FB" w:rsidRDefault="00717B08" w:rsidP="00717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08">
        <w:rPr>
          <w:rFonts w:ascii="Times New Roman" w:hAnsi="Times New Roman" w:cs="Times New Roman"/>
          <w:b/>
          <w:sz w:val="24"/>
          <w:szCs w:val="24"/>
        </w:rPr>
        <w:t>Сабақ кестесі</w:t>
      </w:r>
    </w:p>
    <w:tbl>
      <w:tblPr>
        <w:tblStyle w:val="a7"/>
        <w:tblW w:w="9715" w:type="dxa"/>
        <w:tblLayout w:type="fixed"/>
        <w:tblLook w:val="04A0" w:firstRow="1" w:lastRow="0" w:firstColumn="1" w:lastColumn="0" w:noHBand="0" w:noVBand="1"/>
      </w:tblPr>
      <w:tblGrid>
        <w:gridCol w:w="1435"/>
        <w:gridCol w:w="6120"/>
        <w:gridCol w:w="1087"/>
        <w:gridCol w:w="1073"/>
      </w:tblGrid>
      <w:tr w:rsidR="00AB0D40" w:rsidRPr="00E11C3C" w:rsidTr="00E11C3C">
        <w:tc>
          <w:tcPr>
            <w:tcW w:w="1435" w:type="dxa"/>
          </w:tcPr>
          <w:p w:rsidR="000D40FB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апта</w:t>
            </w:r>
            <w:r w:rsidR="000D40FB" w:rsidRPr="00E11C3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D10F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6120" w:type="dxa"/>
          </w:tcPr>
          <w:p w:rsidR="000D40FB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 xml:space="preserve">Деректер тақырыбы </w:t>
            </w:r>
          </w:p>
        </w:tc>
        <w:tc>
          <w:tcPr>
            <w:tcW w:w="1087" w:type="dxa"/>
          </w:tcPr>
          <w:p w:rsidR="000D40FB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1073" w:type="dxa"/>
          </w:tcPr>
          <w:p w:rsidR="00272E1A" w:rsidRPr="00E11C3C" w:rsidRDefault="00AD10F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aкс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0FB" w:rsidRPr="00E11C3C" w:rsidRDefault="00E11C3C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үпайла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B0D40" w:rsidRPr="00E11C3C" w:rsidTr="00C01B38">
        <w:tc>
          <w:tcPr>
            <w:tcW w:w="9715" w:type="dxa"/>
            <w:gridSpan w:val="4"/>
          </w:tcPr>
          <w:p w:rsidR="00AB0D40" w:rsidRPr="00E11C3C" w:rsidRDefault="000C5BFA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="00717B08" w:rsidRPr="00E11C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одуль</w:t>
            </w: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717B08" w:rsidRPr="00E11C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717B08"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Эпидемиология негіздері мен түсініктері</w:t>
            </w:r>
          </w:p>
        </w:tc>
      </w:tr>
      <w:tr w:rsidR="00AB0D40" w:rsidRPr="00E11C3C" w:rsidTr="00E11C3C">
        <w:tc>
          <w:tcPr>
            <w:tcW w:w="1435" w:type="dxa"/>
          </w:tcPr>
          <w:p w:rsidR="000D40FB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B0D40" w:rsidRPr="00E11C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8155C" w:rsidRPr="00E1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D40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120" w:type="dxa"/>
          </w:tcPr>
          <w:p w:rsidR="000D40FB" w:rsidRPr="00E11C3C" w:rsidRDefault="00717B08" w:rsidP="00E11C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Дәріс 1. Эпидемиологияға кіріспе. Эпидемиологияның анықтамасы. Эпидемиологиялық әдістер мен түсініктердің тарихы. </w:t>
            </w: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Негізгі эпидемиологиялық функциялар. Эпидемиологиялық көзқарас.</w:t>
            </w:r>
          </w:p>
        </w:tc>
        <w:tc>
          <w:tcPr>
            <w:tcW w:w="1087" w:type="dxa"/>
          </w:tcPr>
          <w:p w:rsidR="000D40FB" w:rsidRPr="00E11C3C" w:rsidRDefault="000D40FB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0D40FB" w:rsidRPr="00E11C3C" w:rsidRDefault="000D40FB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1. Эпидемиологияның анықтамасы, мақсаты мен міндеттері. Себепті ойлау. Негізгі эпидемиологиялық функциялар. Эпидемиологиялық көзқарас.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717B08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2/</w:t>
            </w:r>
            <w:r w:rsidR="00893273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Ауру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Аурудың табиғи тарихы және спектрі. Инфекция тізбегі. Эпидемиялық аурулардың пайда болуы.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2-семинар. Аурудың пайда болуы туралы түсінік. Аурудың табиғи тарихы және спектрі. Инфекция тізбегі. Эпидемиялық аурулардың пайда болуы.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3/31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білікті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Тәуекелдік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ауру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өлімнің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жиілігі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туу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Қауымдастық шаралары.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3/31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3. Сандық және білікті эпидемиология. Тәуекелдік шаралары. Жиілік өлшемдері. Ауру мен өлімнің жиілігі. Туу (туу) шаралары. Қауымдастық шаралары. Қоғамдық денсаулыққа әсер ету шаралары.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17B08" w:rsidRPr="004F7F73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3/31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ОСӨЖ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1-3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магистранттарға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1-3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тақырыптары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7B08" w:rsidRPr="00E11C3C" w:rsidTr="00E11C3C">
        <w:trPr>
          <w:trHeight w:val="242"/>
        </w:trPr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4/07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Ауруды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4/07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4. Эпидемиологиялық зерттеу. Ауруды зерттеу.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5. Қоғамдық денсаулықты бақылау.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денсаулықты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қадағалаудың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Бақылауға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проблемаларын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интерпретацияларды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тарату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AB0D40" w:rsidRPr="00E11C3C" w:rsidTr="00E11C3C">
        <w:tc>
          <w:tcPr>
            <w:tcW w:w="1435" w:type="dxa"/>
          </w:tcPr>
          <w:p w:rsidR="00E74CE3" w:rsidRPr="00E11C3C" w:rsidRDefault="00E74CE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</w:tcPr>
          <w:p w:rsidR="00E74CE3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</w:t>
            </w:r>
            <w:r w:rsidR="00E74CE3"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087" w:type="dxa"/>
          </w:tcPr>
          <w:p w:rsidR="00E74CE3" w:rsidRPr="00E11C3C" w:rsidRDefault="00E74CE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E74CE3" w:rsidRPr="00E11C3C" w:rsidRDefault="00E74CE3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0D40" w:rsidRPr="00E11C3C" w:rsidTr="00C01B38">
        <w:tc>
          <w:tcPr>
            <w:tcW w:w="9715" w:type="dxa"/>
            <w:gridSpan w:val="4"/>
          </w:tcPr>
          <w:p w:rsidR="00AB0D40" w:rsidRPr="00E11C3C" w:rsidRDefault="000C5BFA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. Эпидемиологиядағы әдістемелік тәсілдер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6/21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зерттеулердің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түсінігі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дизайны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Сипаттамалық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есептері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кейстер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сериялары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көлденең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4F7F73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6/21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Сипаттамалық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Сипаттамалық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есептері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кейстер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сериялары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көлденең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қималар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4F7F73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7/28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Істерді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күштер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шектеулер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тәуекел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RR, AR, AR%, PAR, PAR%.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7/28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Істерді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беріктік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шектеулер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қолданылатын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бірлестігі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артық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тәуекел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RR, AR, AR%, PAR, PAR%.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мысал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сайттардағы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мақалаларды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rPr>
          <w:trHeight w:hRule="exact" w:val="1144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8/06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0C5BFA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8. Аналитикалық зерттеулер. Когортты зерттеу. Медицинада қолданылатын күштер мен шектеулер, өлшем бірлестігі. Аурудың пайда болуын бағалау және өлшеу (RR, OR, AR.AR%, PAR, PAR%.)</w:t>
            </w:r>
            <w:r w:rsidR="00E1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8/06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Когортты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беріктік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шектеулер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ассоциациясы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зерттеулердегі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экспозицияны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(RR, AR, AR%, PAR, PAR%).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когорттық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мысал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сайттардағы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мақалаларды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кейстерді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</w:t>
            </w:r>
            <w:r w:rsidR="00893273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СОӨЖ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Магистранттардың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жұмыстарына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кеңестер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6-7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өткізіледі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Мәтіндік және графикалық мазмұн, Power Point презентациясын дайындау.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717B08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93273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8/06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СӨЖ 2. Медицинадағы аналитикалық зерттеулер.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7B08" w:rsidRPr="004F7F73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9/13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Тәжірибелік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Рандомизацияланған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бақыланатын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рандомизацияланбаған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сынақ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Стратификацияланған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кроссовер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факторлық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топтық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рандомизация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кезеңдер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дәрілердің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тиімділігі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9/13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9.Эксперименталды зерттеулер Эксперименталды зерттеулер. Рандомизацияланған бақыланатын және рандомизацияланбаған сынақ. Стратификацияланған, кроссовер, факторлық дизайн және топтық рандомизация. Күш және шектеулер. Мысал ретінде веб-сайттардағы ғылыми мақалаларды қолданатын практикалық жұмыс.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10. Оқудағы жағымсыз және жағымсыз факторлар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10/20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Эпидемиологиялық зерттеулерге шолу.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0D40" w:rsidRPr="00E11C3C" w:rsidTr="00E11C3C">
        <w:tc>
          <w:tcPr>
            <w:tcW w:w="1435" w:type="dxa"/>
          </w:tcPr>
          <w:p w:rsidR="00E74CE3" w:rsidRPr="00E11C3C" w:rsidRDefault="00E74CE3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E74CE3" w:rsidRPr="00E11C3C" w:rsidRDefault="000C5BFA" w:rsidP="00E11C3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Аралық бақылау</w:t>
            </w: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емтиханы</w:t>
            </w:r>
          </w:p>
        </w:tc>
        <w:tc>
          <w:tcPr>
            <w:tcW w:w="1087" w:type="dxa"/>
          </w:tcPr>
          <w:p w:rsidR="00E74CE3" w:rsidRPr="00E11C3C" w:rsidRDefault="00E74CE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E74CE3" w:rsidRPr="00E11C3C" w:rsidRDefault="00E74CE3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0D40" w:rsidRPr="00E11C3C" w:rsidTr="00C01B38">
        <w:tc>
          <w:tcPr>
            <w:tcW w:w="9715" w:type="dxa"/>
            <w:gridSpan w:val="4"/>
          </w:tcPr>
          <w:p w:rsidR="00AB0D40" w:rsidRPr="00E11C3C" w:rsidRDefault="000C5BFA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Модуль III. Эпидемиологияның түрлері</w:t>
            </w: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Дәріс. 11 Диагностикалық және скринингтік сынақтар. Сынақтардың сезімталдығы мен ерекшелігі.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11-семинар. Диагностикалық және скринингтік сынақтар. Сынақтардың сезімталдығы мен ерекшелігі.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E11C3C" w:rsidTr="00E11C3C">
        <w:trPr>
          <w:trHeight w:hRule="exact" w:val="622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12/03.04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12. Эпидемиологиядағы статистикалық әдістер. Мета-талдау.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12/03.04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12. Эпидемиологиядағы статистикалық әдістер. Мета-талдау. Мысал ретінде веб-сайттардағы ғылыми мақалаларды қолданатын практикалық жұмыс.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4F7F73" w:rsidTr="00E11C3C">
        <w:trPr>
          <w:trHeight w:val="252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12/03.04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ОЖСӨЖ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Магистранттардың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11-12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rPr>
          <w:trHeight w:val="252"/>
        </w:trPr>
        <w:tc>
          <w:tcPr>
            <w:tcW w:w="1435" w:type="dxa"/>
          </w:tcPr>
          <w:p w:rsidR="00717B08" w:rsidRPr="00E11C3C" w:rsidRDefault="00717B08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СӨЖ 4.Клиникалық сынақ 1.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17B08" w:rsidRPr="00E11C3C" w:rsidTr="00E11C3C">
        <w:trPr>
          <w:trHeight w:val="251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13/10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Медицинадағы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DEPTH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зерттеулерді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08" w:rsidRPr="00E11C3C" w:rsidTr="00E11C3C">
        <w:trPr>
          <w:trHeight w:val="288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13/10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 13. Медицинадағы DEPTH моделі. Медицинада эпидемиологиялық зерттеулерді енгізу. Мысал ретінде веб-сайттардағы ғылыми мақалаларды қолданатын практикалық жұмыс.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7B08" w:rsidRPr="00E11C3C" w:rsidTr="00E11C3C">
        <w:trPr>
          <w:trHeight w:val="207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14. Экспозицияға бағытталған эпидемиология.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rPr>
          <w:trHeight w:val="207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Экспозицияға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бағытталған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тамақтану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радиациялық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белсенділік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17B08" w:rsidRPr="004F7F73" w:rsidTr="00E11C3C">
        <w:trPr>
          <w:trHeight w:hRule="exact" w:val="577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14/17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ОСӨЖ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Магистранттардың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өздік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жұмыстарына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13-14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rPr>
          <w:trHeight w:hRule="exact" w:val="631"/>
        </w:trPr>
        <w:tc>
          <w:tcPr>
            <w:tcW w:w="1435" w:type="dxa"/>
          </w:tcPr>
          <w:p w:rsidR="00717B08" w:rsidRPr="00E11C3C" w:rsidRDefault="00717B08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</w:tcPr>
          <w:p w:rsidR="00717B08" w:rsidRPr="00E11C3C" w:rsidRDefault="000C5BFA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</w:rPr>
              <w:t xml:space="preserve"> 5. Клиникалық эпидемиология және дәлелді медицина.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7B08" w:rsidRPr="00E11C3C" w:rsidTr="00E11C3C">
        <w:trPr>
          <w:trHeight w:hRule="exact" w:val="316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15/24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Дәріс 15. Нәтижеге бағытталған эпидемиология.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7B08" w:rsidRPr="00E11C3C" w:rsidTr="00E11C3C">
        <w:trPr>
          <w:trHeight w:hRule="exact" w:val="1216"/>
        </w:trPr>
        <w:tc>
          <w:tcPr>
            <w:tcW w:w="1435" w:type="dxa"/>
          </w:tcPr>
          <w:p w:rsidR="00717B08" w:rsidRPr="00E11C3C" w:rsidRDefault="00893273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15/24</w:t>
            </w:r>
            <w:r w:rsidR="00717B08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</w:t>
            </w:r>
          </w:p>
        </w:tc>
        <w:tc>
          <w:tcPr>
            <w:tcW w:w="6120" w:type="dxa"/>
          </w:tcPr>
          <w:p w:rsidR="00717B08" w:rsidRPr="00E11C3C" w:rsidRDefault="00717B0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Нәтижеге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бағытталған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инфекциялық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тамыр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ісік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диабеті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психиатриялық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бұзылулар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эпидемиологиясы</w:t>
            </w: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" w:type="dxa"/>
          </w:tcPr>
          <w:p w:rsidR="00717B08" w:rsidRPr="00E11C3C" w:rsidRDefault="00717B08" w:rsidP="00E11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073" w:type="dxa"/>
          </w:tcPr>
          <w:p w:rsidR="00717B08" w:rsidRPr="00E11C3C" w:rsidRDefault="00717B08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AB0D40" w:rsidRPr="00E11C3C" w:rsidTr="00E11C3C">
        <w:trPr>
          <w:trHeight w:val="241"/>
        </w:trPr>
        <w:tc>
          <w:tcPr>
            <w:tcW w:w="1435" w:type="dxa"/>
          </w:tcPr>
          <w:p w:rsidR="00AB0D40" w:rsidRPr="00E11C3C" w:rsidRDefault="00AB0D40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AB0D40" w:rsidRPr="00E11C3C" w:rsidRDefault="00717B08" w:rsidP="00E11C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РБ</w:t>
            </w:r>
            <w:r w:rsidR="00AB0D40"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3</w:t>
            </w:r>
          </w:p>
        </w:tc>
        <w:tc>
          <w:tcPr>
            <w:tcW w:w="1087" w:type="dxa"/>
          </w:tcPr>
          <w:p w:rsidR="00AB0D40" w:rsidRPr="00E11C3C" w:rsidRDefault="00AB0D40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</w:tcPr>
          <w:p w:rsidR="00AB0D40" w:rsidRPr="00E11C3C" w:rsidRDefault="00AB0D40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AB0D40" w:rsidRPr="00E11C3C" w:rsidTr="00E11C3C">
        <w:trPr>
          <w:trHeight w:val="241"/>
        </w:trPr>
        <w:tc>
          <w:tcPr>
            <w:tcW w:w="1435" w:type="dxa"/>
          </w:tcPr>
          <w:p w:rsidR="00AB0D40" w:rsidRPr="00E11C3C" w:rsidRDefault="00AB0D40" w:rsidP="00E11C3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20" w:type="dxa"/>
          </w:tcPr>
          <w:p w:rsidR="00AB0D40" w:rsidRPr="00E11C3C" w:rsidRDefault="000C5BFA" w:rsidP="00E11C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11C3C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Қорытынды емтихан</w:t>
            </w:r>
          </w:p>
        </w:tc>
        <w:tc>
          <w:tcPr>
            <w:tcW w:w="1087" w:type="dxa"/>
          </w:tcPr>
          <w:p w:rsidR="00AB0D40" w:rsidRPr="00E11C3C" w:rsidRDefault="00AB0D40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3" w:type="dxa"/>
          </w:tcPr>
          <w:p w:rsidR="00AB0D40" w:rsidRPr="00E11C3C" w:rsidRDefault="00AB0D40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0D40FB" w:rsidRPr="004E4E05" w:rsidRDefault="000D40FB" w:rsidP="000D4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1473" w:rsidRDefault="00831473" w:rsidP="007B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3036" w:rsidRPr="004E4E05" w:rsidRDefault="000C5BFA" w:rsidP="007B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Лектор: м.ғ.д.</w:t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E4E05" w:rsidRPr="000C5BF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37F60" w:rsidRPr="000C5B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Ф.А.Искакова</w:t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3036" w:rsidRPr="00831473" w:rsidRDefault="00831473" w:rsidP="007B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1473">
        <w:rPr>
          <w:rFonts w:ascii="Times New Roman" w:hAnsi="Times New Roman" w:cs="Times New Roman"/>
          <w:sz w:val="24"/>
          <w:szCs w:val="24"/>
          <w:lang w:val="kk-KZ"/>
        </w:rPr>
        <w:t>Кафедра меңгерушісі, PhD</w:t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E4E05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4E4E0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</w:t>
      </w:r>
      <w:r w:rsidR="00A37F60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4E4E05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A37F60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С.А. Мамырбекова</w:t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D3B69" w:rsidRPr="00831473" w:rsidRDefault="00831473" w:rsidP="007B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1473">
        <w:rPr>
          <w:rFonts w:ascii="Times New Roman" w:hAnsi="Times New Roman" w:cs="Times New Roman"/>
          <w:sz w:val="24"/>
          <w:szCs w:val="24"/>
          <w:lang w:val="kk-KZ"/>
        </w:rPr>
        <w:t>Әдістемелік бюроның төрағасы</w:t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</w:t>
      </w:r>
      <w:r w:rsidR="00A37F60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62E5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А.Е. </w:t>
      </w:r>
      <w:r>
        <w:rPr>
          <w:rFonts w:ascii="Times New Roman" w:hAnsi="Times New Roman" w:cs="Times New Roman"/>
          <w:sz w:val="24"/>
          <w:szCs w:val="24"/>
          <w:lang w:val="kk-KZ"/>
        </w:rPr>
        <w:t>Уалиева</w:t>
      </w:r>
      <w:r w:rsidR="007B3036" w:rsidRPr="008314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E4E05" w:rsidRPr="00831473" w:rsidRDefault="004E4E05" w:rsidP="007B3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29CA" w:rsidRPr="00831473" w:rsidRDefault="003D29C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1473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3D29CA" w:rsidRPr="00831473" w:rsidRDefault="003D29CA" w:rsidP="003D29CA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  <w:sectPr w:rsidR="003D29CA" w:rsidRPr="00831473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9CA" w:rsidRDefault="00E11C3C" w:rsidP="003D29C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C3C">
        <w:rPr>
          <w:rFonts w:ascii="Times New Roman" w:hAnsi="Times New Roman" w:cs="Times New Roman"/>
          <w:lang w:val="en-US"/>
        </w:rPr>
        <w:lastRenderedPageBreak/>
        <w:t>Сыныпты бағалау критерийлері</w:t>
      </w:r>
    </w:p>
    <w:tbl>
      <w:tblPr>
        <w:tblW w:w="14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88"/>
        <w:gridCol w:w="4111"/>
        <w:gridCol w:w="2098"/>
        <w:gridCol w:w="2250"/>
        <w:gridCol w:w="2340"/>
        <w:gridCol w:w="2520"/>
      </w:tblGrid>
      <w:tr w:rsidR="002823A0" w:rsidRPr="00163A19" w:rsidTr="002823A0">
        <w:trPr>
          <w:trHeight w:hRule="exact" w:val="43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23A0" w:rsidRPr="00163A19" w:rsidRDefault="002823A0" w:rsidP="002823A0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A0" w:rsidRPr="00E11C3C" w:rsidRDefault="00E11C3C" w:rsidP="00E11C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критерийлер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A22C8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0-5</w:t>
            </w:r>
          </w:p>
        </w:tc>
      </w:tr>
      <w:tr w:rsidR="002823A0" w:rsidRPr="00163A19" w:rsidTr="002823A0">
        <w:trPr>
          <w:cantSplit/>
          <w:trHeight w:hRule="exact" w:val="43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E11C3C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тамаша</w:t>
            </w:r>
          </w:p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E11C3C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қсы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E11C3C" w:rsidP="00E11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үздік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E11C3C" w:rsidRDefault="00E11C3C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үздіксіз</w:t>
            </w:r>
          </w:p>
        </w:tc>
      </w:tr>
      <w:tr w:rsidR="002823A0" w:rsidRPr="00163A19" w:rsidTr="002823A0">
        <w:trPr>
          <w:cantSplit/>
          <w:trHeight w:hRule="exact" w:val="43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</w:p>
          <w:p w:rsidR="002823A0" w:rsidRPr="00163A19" w:rsidRDefault="002823A0" w:rsidP="0028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23A0" w:rsidRPr="004F7F73" w:rsidTr="002823A0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823A0" w:rsidRPr="00163A19" w:rsidRDefault="002823A0" w:rsidP="002823A0">
            <w:pPr>
              <w:ind w:lef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9A1" w:rsidRPr="00163A19" w:rsidRDefault="002823A0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C39A1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correct and complete answers to all theoretical questions are given;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completely solved;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material is set forth correctly with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adherence to logical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sequences;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It is demonstrated creative</w:t>
            </w:r>
          </w:p>
          <w:p w:rsidR="002823A0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abilities.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9A1" w:rsidRPr="00163A19" w:rsidRDefault="002823A0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CC39A1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correct but incomplete answers to all theoretical questions are given and is admitted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 errors or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inaccuracies;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completed, however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 mistake made;</w:t>
            </w:r>
          </w:p>
          <w:p w:rsidR="002823A0" w:rsidRPr="00163A19" w:rsidRDefault="00D72AF8" w:rsidP="00163A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material is set </w:t>
            </w:r>
            <w:r w:rsidR="00CC39A1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correctly </w:t>
            </w:r>
            <w:r w:rsid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 </w:t>
            </w:r>
            <w:r w:rsidR="00CC39A1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logical</w:t>
            </w:r>
            <w:r w:rsid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39A1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9A1" w:rsidRPr="00163A19" w:rsidRDefault="002823A0" w:rsidP="00CC39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="00CC39A1"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The answers to theoretical questions are given correctly but they are incomplete and </w:t>
            </w:r>
            <w:r w:rsidR="00163A19"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inaccurate in</w:t>
            </w:r>
            <w:r w:rsidR="00CC39A1"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the wording and are logical errors;</w:t>
            </w:r>
          </w:p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 The practical task is not fully completed;</w:t>
            </w:r>
          </w:p>
          <w:p w:rsidR="002823A0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 The material is presented correctly but logical sequence is broken.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F8" w:rsidRPr="00163A19" w:rsidRDefault="002823A0" w:rsidP="00D72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D72AF8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Answers to theoretical questions contain gross errors;</w:t>
            </w:r>
          </w:p>
          <w:p w:rsidR="00D72AF8" w:rsidRPr="00163A19" w:rsidRDefault="00D72AF8" w:rsidP="00D72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practical task is not completed;</w:t>
            </w:r>
          </w:p>
          <w:p w:rsidR="00D72AF8" w:rsidRPr="00163A19" w:rsidRDefault="00D72AF8" w:rsidP="00D72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The statement of the answer includes grammar </w:t>
            </w:r>
            <w:r w:rsidR="00163A19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terminological</w:t>
            </w:r>
          </w:p>
          <w:p w:rsidR="00D72AF8" w:rsidRPr="00163A19" w:rsidRDefault="00D72AF8" w:rsidP="00D72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mistakes, and logical</w:t>
            </w:r>
          </w:p>
          <w:p w:rsidR="002823A0" w:rsidRPr="00163A19" w:rsidRDefault="00D72AF8" w:rsidP="00D72A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 is broken.</w:t>
            </w:r>
          </w:p>
        </w:tc>
      </w:tr>
      <w:tr w:rsidR="002823A0" w:rsidRPr="00054429" w:rsidTr="002823A0">
        <w:trPr>
          <w:trHeight w:val="54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C39A1" w:rsidRPr="00054429" w:rsidTr="002823A0">
        <w:trPr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9A1" w:rsidRPr="00163A19" w:rsidRDefault="00CC39A1" w:rsidP="00CC39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1" w:rsidRPr="00163A19" w:rsidRDefault="00CC39A1" w:rsidP="00CC39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A1" w:rsidRPr="00163A19" w:rsidRDefault="00CC39A1" w:rsidP="00CC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9A1" w:rsidRPr="00163A19" w:rsidRDefault="00CC39A1" w:rsidP="00CC39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9A1" w:rsidRPr="00163A19" w:rsidRDefault="00CC39A1" w:rsidP="00CC39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9A1" w:rsidRPr="00163A19" w:rsidRDefault="00CC39A1" w:rsidP="00CC39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9A1" w:rsidRPr="00163A19" w:rsidRDefault="00CC39A1" w:rsidP="00CC39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163A19" w:rsidTr="002823A0">
        <w:trPr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823A0" w:rsidRPr="00054429" w:rsidTr="002823A0">
        <w:trPr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cantSplit/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3A0" w:rsidRPr="00163A19" w:rsidRDefault="002823A0" w:rsidP="002823A0">
            <w:pPr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4F7F73" w:rsidTr="002823A0">
        <w:trPr>
          <w:cantSplit/>
          <w:trHeight w:val="2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3A0" w:rsidRPr="00163A19" w:rsidRDefault="002823A0" w:rsidP="002823A0">
            <w:pPr>
              <w:ind w:lef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163A19" w:rsidP="0028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Seminar </w:t>
            </w:r>
            <w:r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8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 Exposure or outcome.  Измерение рисков в исследовании: RR, OR, AR. Measurement of expose in studies: RR, OR, AR.  Practical work using scientific articles from websites as an example.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cantSplit/>
          <w:trHeight w:val="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cantSplit/>
          <w:trHeight w:val="35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cantSplit/>
          <w:trHeight w:val="2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163A19" w:rsidTr="002823A0">
        <w:trPr>
          <w:cantSplit/>
          <w:trHeight w:val="27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823A0" w:rsidRPr="00054429" w:rsidTr="002823A0">
        <w:trPr>
          <w:cantSplit/>
          <w:trHeight w:hRule="exact" w:val="51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054429" w:rsidTr="002823A0">
        <w:trPr>
          <w:cantSplit/>
          <w:trHeight w:val="39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823A0" w:rsidRPr="00163A19" w:rsidTr="002823A0">
        <w:trPr>
          <w:cantSplit/>
          <w:trHeight w:val="52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63A19" w:rsidRPr="00A22C88" w:rsidRDefault="00163A19" w:rsidP="00A22C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23A0" w:rsidRPr="00A22C88" w:rsidRDefault="002823A0" w:rsidP="00A22C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C8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Masters Independent Work Criteria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8"/>
        <w:gridCol w:w="2325"/>
        <w:gridCol w:w="2422"/>
        <w:gridCol w:w="3209"/>
        <w:gridCol w:w="2950"/>
        <w:gridCol w:w="2868"/>
      </w:tblGrid>
      <w:tr w:rsidR="002823A0" w:rsidRPr="00163A19" w:rsidTr="00461032">
        <w:trPr>
          <w:trHeight w:hRule="exact" w:val="432"/>
        </w:trPr>
        <w:tc>
          <w:tcPr>
            <w:tcW w:w="778" w:type="dxa"/>
            <w:vMerge w:val="restart"/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868" w:type="dxa"/>
            <w:tcBorders>
              <w:bottom w:val="single" w:sz="4" w:space="0" w:color="auto"/>
              <w:right w:val="single" w:sz="4" w:space="0" w:color="auto"/>
            </w:tcBorders>
          </w:tcPr>
          <w:p w:rsidR="002823A0" w:rsidRPr="00163A19" w:rsidRDefault="002823A0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0-3</w:t>
            </w:r>
          </w:p>
        </w:tc>
      </w:tr>
      <w:tr w:rsidR="00461032" w:rsidRPr="00163A19" w:rsidTr="00680CA7">
        <w:trPr>
          <w:trHeight w:hRule="exact" w:val="432"/>
        </w:trPr>
        <w:tc>
          <w:tcPr>
            <w:tcW w:w="778" w:type="dxa"/>
            <w:vMerge/>
          </w:tcPr>
          <w:p w:rsidR="00461032" w:rsidRPr="00163A19" w:rsidRDefault="00461032" w:rsidP="00461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right w:val="single" w:sz="4" w:space="0" w:color="auto"/>
            </w:tcBorders>
          </w:tcPr>
          <w:p w:rsidR="00461032" w:rsidRPr="00163A19" w:rsidRDefault="00461032" w:rsidP="00461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Excellent </w:t>
            </w:r>
          </w:p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Good </w:t>
            </w:r>
          </w:p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Satisfied</w:t>
            </w:r>
          </w:p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Unsatisfied</w:t>
            </w:r>
          </w:p>
          <w:p w:rsidR="00461032" w:rsidRPr="00163A19" w:rsidRDefault="00461032" w:rsidP="00461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2AF8" w:rsidRPr="00163A19" w:rsidTr="00461032">
        <w:trPr>
          <w:trHeight w:hRule="exact" w:val="432"/>
        </w:trPr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F8" w:rsidRPr="00163A19" w:rsidRDefault="00D72AF8" w:rsidP="002823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D72AF8" w:rsidRPr="002F0438" w:rsidTr="00163A19">
        <w:trPr>
          <w:trHeight w:hRule="exact" w:val="677"/>
        </w:trPr>
        <w:tc>
          <w:tcPr>
            <w:tcW w:w="778" w:type="dxa"/>
          </w:tcPr>
          <w:p w:rsidR="00D72AF8" w:rsidRPr="00163A19" w:rsidRDefault="00D72AF8" w:rsidP="00D72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D72AF8" w:rsidRPr="00734F9A" w:rsidRDefault="00D72AF8" w:rsidP="00D72A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topic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1.Барлық теориялық сұрақтарға дұрыс және толық жауаптар беріледі;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Практикалық тапсырма толығымен шешілді;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Материал логикалық дәйектілікпен дұрыс жазылған;</w:t>
            </w:r>
          </w:p>
          <w:p w:rsidR="00D72AF8" w:rsidRPr="00163A19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Шығармашылық қабілеттерін көрсетеді.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3C" w:rsidRPr="00E11C3C" w:rsidRDefault="00D72AF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E11C3C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Барлық теориялық сұрақтарға дұрыс, бірақ толық емес жауаптар беріліп, қабылданады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шамалы қателер немесе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дәлсіздік;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2. Алайда практикалық тапсырма орындалды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кішігірім қате жіберілген;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</w:rPr>
              <w:t>3. Материал логикалық ережелерге сәйкес дұрыс қойылған</w:t>
            </w:r>
          </w:p>
          <w:p w:rsidR="00D72AF8" w:rsidRPr="00163A19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жүйелі.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3C" w:rsidRPr="00E11C3C" w:rsidRDefault="00D72AF8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="00E11C3C" w:rsidRPr="00E11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Теориялық сұрақтарға жауаптар дұрыс берілген, бірақ олар толық емес және анық емес және логикалық қателер болып табылады;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2. Практикалық тапсырма толығымен орындалмаған;</w:t>
            </w:r>
          </w:p>
          <w:p w:rsidR="00D72AF8" w:rsidRPr="00163A19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 Материал дұрыс ұсынылған, бірақ логикалық дәйектілік бұзылған.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3C" w:rsidRPr="00E11C3C" w:rsidRDefault="00D72AF8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E11C3C"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Теориялық сұрақтарға жауаптарда өрескел қателер бар;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Практикалық тапсырма аяқталмаған;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Жауаптың тұжырымдамасы грамматикалық және терминологиялықты қамтиды</w:t>
            </w:r>
          </w:p>
          <w:p w:rsidR="00E11C3C" w:rsidRPr="00E11C3C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қателіктер, және логикалық</w:t>
            </w:r>
          </w:p>
          <w:p w:rsidR="00D72AF8" w:rsidRPr="00163A19" w:rsidRDefault="00E11C3C" w:rsidP="00E11C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11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реттілік бұзылған.</w:t>
            </w:r>
          </w:p>
        </w:tc>
      </w:tr>
      <w:tr w:rsidR="002823A0" w:rsidRPr="00163A19" w:rsidTr="00163A19">
        <w:trPr>
          <w:trHeight w:hRule="exact" w:val="677"/>
        </w:trPr>
        <w:tc>
          <w:tcPr>
            <w:tcW w:w="778" w:type="dxa"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823A0" w:rsidRPr="00734F9A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  <w:r w:rsid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topic</w:t>
            </w: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163A19">
        <w:trPr>
          <w:trHeight w:hRule="exact" w:val="677"/>
        </w:trPr>
        <w:tc>
          <w:tcPr>
            <w:tcW w:w="778" w:type="dxa"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823A0" w:rsidRPr="00734F9A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topic</w:t>
            </w: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163A19">
        <w:trPr>
          <w:trHeight w:hRule="exact" w:val="677"/>
        </w:trPr>
        <w:tc>
          <w:tcPr>
            <w:tcW w:w="778" w:type="dxa"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823A0" w:rsidRPr="00734F9A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topic</w:t>
            </w: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163A19">
        <w:trPr>
          <w:trHeight w:hRule="exact" w:val="677"/>
        </w:trPr>
        <w:tc>
          <w:tcPr>
            <w:tcW w:w="778" w:type="dxa"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2823A0" w:rsidRPr="00734F9A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734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 topic</w:t>
            </w: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2823A0" w:rsidRPr="00163A19" w:rsidRDefault="002823A0" w:rsidP="002823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3A0" w:rsidRPr="00F314C5" w:rsidRDefault="002823A0" w:rsidP="00282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823A0" w:rsidRPr="00E22405" w:rsidRDefault="00461032" w:rsidP="00E22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405">
        <w:rPr>
          <w:rFonts w:ascii="Times New Roman" w:hAnsi="Times New Roman" w:cs="Times New Roman"/>
          <w:b/>
          <w:sz w:val="24"/>
          <w:szCs w:val="24"/>
          <w:lang w:val="en-US"/>
        </w:rPr>
        <w:t>Advising MIW</w:t>
      </w:r>
      <w:r w:rsidR="00E22405" w:rsidRPr="00E224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823A0" w:rsidRPr="00E22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22405">
        <w:rPr>
          <w:rFonts w:ascii="Times New Roman" w:hAnsi="Times New Roman" w:cs="Times New Roman"/>
          <w:b/>
          <w:sz w:val="24"/>
          <w:szCs w:val="24"/>
          <w:lang w:val="en-US"/>
        </w:rPr>
        <w:t>Schedule</w:t>
      </w:r>
      <w:r w:rsidR="00E22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Pr="00E22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Instructions</w:t>
      </w:r>
    </w:p>
    <w:p w:rsidR="002823A0" w:rsidRPr="00E22405" w:rsidRDefault="002823A0" w:rsidP="00282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5"/>
        <w:gridCol w:w="4770"/>
        <w:gridCol w:w="2430"/>
      </w:tblGrid>
      <w:tr w:rsidR="002823A0" w:rsidRPr="00E22405" w:rsidTr="00A22C88">
        <w:trPr>
          <w:trHeight w:hRule="exact" w:val="363"/>
        </w:trPr>
        <w:tc>
          <w:tcPr>
            <w:tcW w:w="1705" w:type="dxa"/>
          </w:tcPr>
          <w:p w:rsidR="002823A0" w:rsidRPr="00E22405" w:rsidRDefault="00461032" w:rsidP="00461032">
            <w:pPr>
              <w:rPr>
                <w:b/>
                <w:sz w:val="24"/>
                <w:szCs w:val="24"/>
                <w:lang w:val="en-US"/>
              </w:rPr>
            </w:pPr>
            <w:r w:rsidRPr="00163A19">
              <w:rPr>
                <w:b/>
                <w:sz w:val="24"/>
                <w:szCs w:val="24"/>
                <w:lang w:val="en-US"/>
              </w:rPr>
              <w:t>Week</w:t>
            </w:r>
            <w:r w:rsidRPr="00E22405">
              <w:rPr>
                <w:b/>
                <w:sz w:val="24"/>
                <w:szCs w:val="24"/>
                <w:lang w:val="en-US"/>
              </w:rPr>
              <w:t xml:space="preserve"> / </w:t>
            </w:r>
            <w:r w:rsidRPr="00163A19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4770" w:type="dxa"/>
          </w:tcPr>
          <w:p w:rsidR="002823A0" w:rsidRPr="00163A19" w:rsidRDefault="00461032" w:rsidP="002823A0">
            <w:pPr>
              <w:rPr>
                <w:b/>
                <w:sz w:val="24"/>
                <w:szCs w:val="24"/>
                <w:lang w:val="en-US"/>
              </w:rPr>
            </w:pPr>
            <w:r w:rsidRPr="00163A19">
              <w:rPr>
                <w:b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430" w:type="dxa"/>
          </w:tcPr>
          <w:p w:rsidR="002823A0" w:rsidRPr="00E22405" w:rsidRDefault="00163A19" w:rsidP="00B13FCD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22405">
              <w:rPr>
                <w:b/>
                <w:sz w:val="24"/>
                <w:szCs w:val="24"/>
                <w:lang w:val="en-US"/>
              </w:rPr>
              <w:t xml:space="preserve">  </w:t>
            </w:r>
            <w:r w:rsidR="00B13FCD">
              <w:rPr>
                <w:b/>
                <w:sz w:val="24"/>
                <w:szCs w:val="24"/>
                <w:lang w:val="en-US"/>
              </w:rPr>
              <w:t>A m</w:t>
            </w:r>
            <w:r w:rsidRPr="00E22405">
              <w:rPr>
                <w:b/>
                <w:sz w:val="24"/>
                <w:szCs w:val="24"/>
                <w:lang w:val="en-US"/>
              </w:rPr>
              <w:t>axim</w:t>
            </w:r>
            <w:r w:rsidR="00B13FCD">
              <w:rPr>
                <w:b/>
                <w:sz w:val="24"/>
                <w:szCs w:val="24"/>
                <w:lang w:val="en-US"/>
              </w:rPr>
              <w:t>um scores</w:t>
            </w:r>
            <w:r w:rsidR="002823A0" w:rsidRPr="00E22405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A22C88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3/20.09.19</w:t>
            </w:r>
          </w:p>
        </w:tc>
        <w:tc>
          <w:tcPr>
            <w:tcW w:w="4770" w:type="dxa"/>
          </w:tcPr>
          <w:p w:rsidR="002823A0" w:rsidRPr="00163A19" w:rsidRDefault="00461032" w:rsidP="0046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MIWT</w:t>
            </w: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23A0"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Сonsultation on assignment 1. 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823A0" w:rsidRPr="00163A19" w:rsidRDefault="00461032" w:rsidP="004610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MIW </w:t>
            </w:r>
            <w:r w:rsidR="002823A0"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 1-4 classes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A22C88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88">
              <w:rPr>
                <w:rFonts w:ascii="Times New Roman" w:hAnsi="Times New Roman" w:cs="Times New Roman"/>
                <w:sz w:val="24"/>
                <w:szCs w:val="24"/>
              </w:rPr>
              <w:t>7/18.10.19</w:t>
            </w:r>
          </w:p>
        </w:tc>
        <w:tc>
          <w:tcPr>
            <w:tcW w:w="4770" w:type="dxa"/>
          </w:tcPr>
          <w:p w:rsidR="002823A0" w:rsidRPr="00163A19" w:rsidRDefault="00461032" w:rsidP="0046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MIWT </w:t>
            </w:r>
            <w:r w:rsidR="002823A0" w:rsidRPr="00163A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Сonsultation on assignment 2.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823A0" w:rsidRPr="00163A19" w:rsidRDefault="00461032" w:rsidP="0046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MIW</w:t>
            </w:r>
            <w:r w:rsidR="002823A0" w:rsidRPr="00163A19">
              <w:rPr>
                <w:rFonts w:ascii="Times New Roman" w:hAnsi="Times New Roman" w:cs="Times New Roman"/>
                <w:sz w:val="24"/>
                <w:szCs w:val="24"/>
              </w:rPr>
              <w:t xml:space="preserve"> 2. 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  6-7 classes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A22C88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88">
              <w:rPr>
                <w:rFonts w:ascii="Times New Roman" w:hAnsi="Times New Roman" w:cs="Times New Roman"/>
                <w:sz w:val="24"/>
                <w:szCs w:val="24"/>
              </w:rPr>
              <w:t>9/01.11.19</w:t>
            </w:r>
          </w:p>
        </w:tc>
        <w:tc>
          <w:tcPr>
            <w:tcW w:w="4770" w:type="dxa"/>
          </w:tcPr>
          <w:p w:rsidR="002823A0" w:rsidRPr="00163A19" w:rsidRDefault="00461032" w:rsidP="00461032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MIWT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3.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Сonsultation on assignment </w:t>
            </w: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823A0" w:rsidRPr="00163A19" w:rsidRDefault="00A22C88" w:rsidP="00461032">
            <w:pPr>
              <w:pStyle w:val="a6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MIW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3.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Topic 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8-9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classes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A22C88" w:rsidP="00A2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88">
              <w:rPr>
                <w:rFonts w:ascii="Times New Roman" w:hAnsi="Times New Roman" w:cs="Times New Roman"/>
                <w:sz w:val="24"/>
                <w:szCs w:val="24"/>
              </w:rPr>
              <w:t>12/22.11.19</w:t>
            </w:r>
          </w:p>
        </w:tc>
        <w:tc>
          <w:tcPr>
            <w:tcW w:w="4770" w:type="dxa"/>
          </w:tcPr>
          <w:p w:rsidR="002823A0" w:rsidRPr="00163A19" w:rsidRDefault="00A22C88" w:rsidP="0046103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MIWT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4. </w:t>
            </w:r>
            <w:r w:rsidR="00461032"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Сonsultation on assignment 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0" w:type="dxa"/>
          </w:tcPr>
          <w:p w:rsidR="002823A0" w:rsidRPr="00163A19" w:rsidRDefault="00A22C88" w:rsidP="0046103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MIW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4.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Topic 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11-12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classes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A22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14/03.12.19</w:t>
            </w:r>
          </w:p>
        </w:tc>
        <w:tc>
          <w:tcPr>
            <w:tcW w:w="4770" w:type="dxa"/>
          </w:tcPr>
          <w:p w:rsidR="002823A0" w:rsidRPr="00163A19" w:rsidRDefault="002823A0" w:rsidP="002823A0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22C88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MIWT</w:t>
            </w:r>
            <w:r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461032" w:rsidRPr="0016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Сonsultation on assignment</w:t>
            </w:r>
            <w:r w:rsidR="00461032"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A0" w:rsidRPr="00163A19" w:rsidTr="00A22C88">
        <w:trPr>
          <w:trHeight w:hRule="exact" w:val="288"/>
        </w:trPr>
        <w:tc>
          <w:tcPr>
            <w:tcW w:w="1705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823A0" w:rsidRPr="00163A19" w:rsidRDefault="00A22C88" w:rsidP="0046103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MIT</w:t>
            </w:r>
            <w:r w:rsidR="00E224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5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Topic 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13-14 </w:t>
            </w:r>
            <w:r w:rsidR="00461032" w:rsidRPr="00163A19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classes</w:t>
            </w:r>
            <w:r w:rsidR="002823A0" w:rsidRPr="00163A1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2430" w:type="dxa"/>
          </w:tcPr>
          <w:p w:rsidR="002823A0" w:rsidRPr="00163A19" w:rsidRDefault="002823A0" w:rsidP="002823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3D29CA" w:rsidRPr="00F314C5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29CA" w:rsidRDefault="003D29CA" w:rsidP="003D29C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D29CA" w:rsidSect="003D29CA">
      <w:pgSz w:w="16838" w:h="11906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11" w:rsidRDefault="00660411" w:rsidP="00164DA2">
      <w:pPr>
        <w:spacing w:after="0" w:line="240" w:lineRule="auto"/>
      </w:pPr>
      <w:r>
        <w:separator/>
      </w:r>
    </w:p>
  </w:endnote>
  <w:endnote w:type="continuationSeparator" w:id="0">
    <w:p w:rsidR="00660411" w:rsidRDefault="00660411" w:rsidP="0016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FE" w:rsidRDefault="00C72DFE">
    <w:pPr>
      <w:pStyle w:val="af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F7F73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C72DFE" w:rsidRDefault="00C72DF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11" w:rsidRDefault="00660411" w:rsidP="00164DA2">
      <w:pPr>
        <w:spacing w:after="0" w:line="240" w:lineRule="auto"/>
      </w:pPr>
      <w:r>
        <w:separator/>
      </w:r>
    </w:p>
  </w:footnote>
  <w:footnote w:type="continuationSeparator" w:id="0">
    <w:p w:rsidR="00660411" w:rsidRDefault="00660411" w:rsidP="0016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DD"/>
    <w:multiLevelType w:val="multilevel"/>
    <w:tmpl w:val="A454C2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E60"/>
    <w:multiLevelType w:val="hybridMultilevel"/>
    <w:tmpl w:val="44B0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0445"/>
    <w:multiLevelType w:val="hybridMultilevel"/>
    <w:tmpl w:val="04A2FC4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91446F4"/>
    <w:multiLevelType w:val="hybridMultilevel"/>
    <w:tmpl w:val="C51A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A1594"/>
    <w:multiLevelType w:val="hybridMultilevel"/>
    <w:tmpl w:val="EFAC5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B4F9A"/>
    <w:multiLevelType w:val="multilevel"/>
    <w:tmpl w:val="19A638F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54429"/>
    <w:rsid w:val="00054CB9"/>
    <w:rsid w:val="0007178B"/>
    <w:rsid w:val="00095204"/>
    <w:rsid w:val="000A4604"/>
    <w:rsid w:val="000A6E9D"/>
    <w:rsid w:val="000C5BFA"/>
    <w:rsid w:val="000C7993"/>
    <w:rsid w:val="000D40FB"/>
    <w:rsid w:val="000D4C62"/>
    <w:rsid w:val="0010129A"/>
    <w:rsid w:val="001144DF"/>
    <w:rsid w:val="00133E67"/>
    <w:rsid w:val="00141E6A"/>
    <w:rsid w:val="00147901"/>
    <w:rsid w:val="001528CF"/>
    <w:rsid w:val="00156BE1"/>
    <w:rsid w:val="00163A19"/>
    <w:rsid w:val="00164DA2"/>
    <w:rsid w:val="00183AD8"/>
    <w:rsid w:val="0018783C"/>
    <w:rsid w:val="00193C99"/>
    <w:rsid w:val="001B265C"/>
    <w:rsid w:val="001B58B0"/>
    <w:rsid w:val="00207E12"/>
    <w:rsid w:val="0023002A"/>
    <w:rsid w:val="0024353E"/>
    <w:rsid w:val="00270C71"/>
    <w:rsid w:val="00272E1A"/>
    <w:rsid w:val="00277D86"/>
    <w:rsid w:val="002823A0"/>
    <w:rsid w:val="00283EE6"/>
    <w:rsid w:val="00294095"/>
    <w:rsid w:val="002C4D9A"/>
    <w:rsid w:val="002F0438"/>
    <w:rsid w:val="002F26C2"/>
    <w:rsid w:val="003377B2"/>
    <w:rsid w:val="00374828"/>
    <w:rsid w:val="003D29CA"/>
    <w:rsid w:val="00406467"/>
    <w:rsid w:val="0041257A"/>
    <w:rsid w:val="004127CB"/>
    <w:rsid w:val="004331A3"/>
    <w:rsid w:val="00441DAC"/>
    <w:rsid w:val="00461032"/>
    <w:rsid w:val="004768F5"/>
    <w:rsid w:val="004A0B4F"/>
    <w:rsid w:val="004A28A0"/>
    <w:rsid w:val="004C5069"/>
    <w:rsid w:val="004D0773"/>
    <w:rsid w:val="004D3218"/>
    <w:rsid w:val="004E196D"/>
    <w:rsid w:val="004E4E05"/>
    <w:rsid w:val="004F7F73"/>
    <w:rsid w:val="005164E4"/>
    <w:rsid w:val="005176D2"/>
    <w:rsid w:val="00550725"/>
    <w:rsid w:val="00596E83"/>
    <w:rsid w:val="005B4221"/>
    <w:rsid w:val="005B5CD3"/>
    <w:rsid w:val="005B7EFF"/>
    <w:rsid w:val="005C090C"/>
    <w:rsid w:val="00607E88"/>
    <w:rsid w:val="00617D64"/>
    <w:rsid w:val="00637E07"/>
    <w:rsid w:val="006462E5"/>
    <w:rsid w:val="00660411"/>
    <w:rsid w:val="00665324"/>
    <w:rsid w:val="006768CA"/>
    <w:rsid w:val="00680CA7"/>
    <w:rsid w:val="006A2D5A"/>
    <w:rsid w:val="006A61BB"/>
    <w:rsid w:val="006F3684"/>
    <w:rsid w:val="00717B08"/>
    <w:rsid w:val="007212C3"/>
    <w:rsid w:val="007217F4"/>
    <w:rsid w:val="00734F9A"/>
    <w:rsid w:val="00740EED"/>
    <w:rsid w:val="007515DA"/>
    <w:rsid w:val="007540D9"/>
    <w:rsid w:val="00797840"/>
    <w:rsid w:val="007A1D6F"/>
    <w:rsid w:val="007A4081"/>
    <w:rsid w:val="007A77E0"/>
    <w:rsid w:val="007B3036"/>
    <w:rsid w:val="007E298D"/>
    <w:rsid w:val="007E5F21"/>
    <w:rsid w:val="0082231C"/>
    <w:rsid w:val="00830FB2"/>
    <w:rsid w:val="00831473"/>
    <w:rsid w:val="00846BEB"/>
    <w:rsid w:val="00862EA9"/>
    <w:rsid w:val="0088155C"/>
    <w:rsid w:val="00887009"/>
    <w:rsid w:val="00893273"/>
    <w:rsid w:val="008E08B3"/>
    <w:rsid w:val="008F3061"/>
    <w:rsid w:val="009153A7"/>
    <w:rsid w:val="00915D93"/>
    <w:rsid w:val="00923DAB"/>
    <w:rsid w:val="00930390"/>
    <w:rsid w:val="009331A2"/>
    <w:rsid w:val="00933579"/>
    <w:rsid w:val="0094246D"/>
    <w:rsid w:val="009465CC"/>
    <w:rsid w:val="00950800"/>
    <w:rsid w:val="0097016E"/>
    <w:rsid w:val="00972022"/>
    <w:rsid w:val="009A3241"/>
    <w:rsid w:val="009A7E68"/>
    <w:rsid w:val="009B63D8"/>
    <w:rsid w:val="009D5ECF"/>
    <w:rsid w:val="009F5487"/>
    <w:rsid w:val="009F6578"/>
    <w:rsid w:val="00A0046F"/>
    <w:rsid w:val="00A017C6"/>
    <w:rsid w:val="00A0363D"/>
    <w:rsid w:val="00A0436A"/>
    <w:rsid w:val="00A077A3"/>
    <w:rsid w:val="00A11043"/>
    <w:rsid w:val="00A17FE9"/>
    <w:rsid w:val="00A22C88"/>
    <w:rsid w:val="00A37F60"/>
    <w:rsid w:val="00A66793"/>
    <w:rsid w:val="00AA0184"/>
    <w:rsid w:val="00AB0D40"/>
    <w:rsid w:val="00AB2981"/>
    <w:rsid w:val="00AC76C0"/>
    <w:rsid w:val="00AD10F8"/>
    <w:rsid w:val="00AD3B69"/>
    <w:rsid w:val="00AD5ACF"/>
    <w:rsid w:val="00AE2ABC"/>
    <w:rsid w:val="00B04FB8"/>
    <w:rsid w:val="00B13FCD"/>
    <w:rsid w:val="00B169FA"/>
    <w:rsid w:val="00B30881"/>
    <w:rsid w:val="00B4165A"/>
    <w:rsid w:val="00B84AA6"/>
    <w:rsid w:val="00B84F47"/>
    <w:rsid w:val="00BD53AF"/>
    <w:rsid w:val="00C01B38"/>
    <w:rsid w:val="00C16C46"/>
    <w:rsid w:val="00C324AB"/>
    <w:rsid w:val="00C56EE3"/>
    <w:rsid w:val="00C72DFE"/>
    <w:rsid w:val="00C734EE"/>
    <w:rsid w:val="00C73C6C"/>
    <w:rsid w:val="00C76ED1"/>
    <w:rsid w:val="00C9253A"/>
    <w:rsid w:val="00CC3379"/>
    <w:rsid w:val="00CC39A1"/>
    <w:rsid w:val="00CD28A7"/>
    <w:rsid w:val="00CF4B48"/>
    <w:rsid w:val="00D02EE9"/>
    <w:rsid w:val="00D117DB"/>
    <w:rsid w:val="00D27CEA"/>
    <w:rsid w:val="00D319CD"/>
    <w:rsid w:val="00D34426"/>
    <w:rsid w:val="00D65A69"/>
    <w:rsid w:val="00D72AF8"/>
    <w:rsid w:val="00D74344"/>
    <w:rsid w:val="00D77696"/>
    <w:rsid w:val="00D81380"/>
    <w:rsid w:val="00D825D7"/>
    <w:rsid w:val="00DB3255"/>
    <w:rsid w:val="00DE13E5"/>
    <w:rsid w:val="00DE1808"/>
    <w:rsid w:val="00DF1C76"/>
    <w:rsid w:val="00DF3AFB"/>
    <w:rsid w:val="00DF3F03"/>
    <w:rsid w:val="00E11C3C"/>
    <w:rsid w:val="00E15E31"/>
    <w:rsid w:val="00E1672D"/>
    <w:rsid w:val="00E205D9"/>
    <w:rsid w:val="00E2164F"/>
    <w:rsid w:val="00E22405"/>
    <w:rsid w:val="00E310D1"/>
    <w:rsid w:val="00E34393"/>
    <w:rsid w:val="00E74CE3"/>
    <w:rsid w:val="00E843B1"/>
    <w:rsid w:val="00E9752B"/>
    <w:rsid w:val="00EA2090"/>
    <w:rsid w:val="00EB08D8"/>
    <w:rsid w:val="00EC1BFB"/>
    <w:rsid w:val="00EC5750"/>
    <w:rsid w:val="00EE17C5"/>
    <w:rsid w:val="00F31A45"/>
    <w:rsid w:val="00F44487"/>
    <w:rsid w:val="00F46EB3"/>
    <w:rsid w:val="00F8140A"/>
    <w:rsid w:val="00FA2530"/>
    <w:rsid w:val="00FC5619"/>
    <w:rsid w:val="00FD72B9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042BF-07AA-43EA-9567-AACC9399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uiPriority w:val="39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F3F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F3F0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d">
    <w:name w:val="header"/>
    <w:basedOn w:val="a"/>
    <w:link w:val="ae"/>
    <w:uiPriority w:val="99"/>
    <w:unhideWhenUsed/>
    <w:rsid w:val="00164D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4DA2"/>
  </w:style>
  <w:style w:type="paragraph" w:styleId="af">
    <w:name w:val="footer"/>
    <w:basedOn w:val="a"/>
    <w:link w:val="af0"/>
    <w:uiPriority w:val="99"/>
    <w:unhideWhenUsed/>
    <w:rsid w:val="00164D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org" TargetMode="External"/><Relationship Id="rId13" Type="http://schemas.openxmlformats.org/officeDocument/2006/relationships/hyperlink" Target="mailto:iskakova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bme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ckraine.libr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BA15-8D37-4C43-AC17-E58ED802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11577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Фарида</cp:lastModifiedBy>
  <cp:revision>3</cp:revision>
  <cp:lastPrinted>2019-10-30T12:48:00Z</cp:lastPrinted>
  <dcterms:created xsi:type="dcterms:W3CDTF">2020-01-14T15:57:00Z</dcterms:created>
  <dcterms:modified xsi:type="dcterms:W3CDTF">2020-01-14T16:02:00Z</dcterms:modified>
</cp:coreProperties>
</file>